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附件2</w:t>
      </w:r>
    </w:p>
    <w:p>
      <w:pPr>
        <w:widowControl/>
        <w:spacing w:line="360" w:lineRule="auto"/>
        <w:jc w:val="left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bookmarkEnd w:id="0"/>
    </w:p>
    <w:p>
      <w:pPr>
        <w:widowControl/>
        <w:spacing w:line="360" w:lineRule="auto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-1016635</wp:posOffset>
                </wp:positionH>
                <wp:positionV relativeFrom="paragraph">
                  <wp:posOffset>664210</wp:posOffset>
                </wp:positionV>
                <wp:extent cx="130810" cy="0"/>
                <wp:effectExtent l="0" t="22225" r="2540" b="34925"/>
                <wp:wrapNone/>
                <wp:docPr id="16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prstGeom prst="line">
                          <a:avLst/>
                        </a:prstGeom>
                        <a:ln w="444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o:spt="20" style="position:absolute;left:0pt;margin-left:-80.05pt;margin-top:52.3pt;height:0pt;width:10.3pt;z-index:251659264;mso-width-relative:page;mso-height-relative:page;" filled="f" stroked="t" coordsize="21600,21600" o:gfxdata="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t5IbzaAAAADQEAAA8AAAAAAAAAAQAgAAAA&#10;IgAAAGRycy9kb3ducmV2LnhtbFBLAQIUABQAAAAIAIdO4kArdP+20AEAALEDAAAOAAAAAAAAAAEA&#10;IAAAACkBAABkcnMvZTJvRG9jLnhtbFBLBQYAAAAABgAGAFkBAABrBQAAAAA=&#10;">
                <v:fill on="f" focussize="0,0"/>
                <v:stroke weight="3.5pt" color="#FFFFFF [3212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36"/>
          <w:szCs w:val="36"/>
        </w:rPr>
        <w:t>【项目推广服务内容框架】</w:t>
      </w:r>
    </w:p>
    <w:tbl>
      <w:tblPr>
        <w:tblStyle w:val="4"/>
        <w:tblpPr w:leftFromText="180" w:rightFromText="180" w:vertAnchor="text" w:horzAnchor="margin" w:tblpY="172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5413"/>
        <w:gridCol w:w="1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51" w:type="dxa"/>
            <w:shd w:val="clear" w:color="auto" w:fill="8496B0" w:themeFill="text2" w:themeFillTint="99"/>
            <w:vAlign w:val="center"/>
          </w:tcPr>
          <w:p>
            <w:pPr>
              <w:pStyle w:val="2"/>
              <w:spacing w:before="100" w:after="100"/>
              <w:contextualSpacing/>
              <w:jc w:val="center"/>
              <w:outlineLvl w:val="1"/>
              <w:rPr>
                <w:rFonts w:hint="default" w:ascii="仿宋" w:hAnsi="仿宋" w:eastAsia="仿宋" w:cs="微软雅黑"/>
                <w:sz w:val="18"/>
                <w:szCs w:val="28"/>
              </w:rPr>
            </w:pPr>
            <w:r>
              <w:rPr>
                <w:rFonts w:ascii="仿宋" w:hAnsi="仿宋" w:eastAsia="仿宋" w:cs="微软雅黑"/>
                <w:sz w:val="18"/>
                <w:szCs w:val="28"/>
              </w:rPr>
              <w:t>服务类别</w:t>
            </w:r>
          </w:p>
        </w:tc>
        <w:tc>
          <w:tcPr>
            <w:tcW w:w="5413" w:type="dxa"/>
            <w:shd w:val="clear" w:color="auto" w:fill="8496B0" w:themeFill="text2" w:themeFillTint="99"/>
            <w:vAlign w:val="center"/>
          </w:tcPr>
          <w:p>
            <w:pPr>
              <w:pStyle w:val="2"/>
              <w:jc w:val="center"/>
              <w:outlineLvl w:val="1"/>
              <w:rPr>
                <w:rFonts w:hint="default" w:ascii="仿宋" w:hAnsi="仿宋" w:eastAsia="仿宋" w:cs="微软雅黑"/>
                <w:sz w:val="18"/>
                <w:szCs w:val="28"/>
              </w:rPr>
            </w:pPr>
            <w:r>
              <w:rPr>
                <w:rFonts w:ascii="仿宋" w:hAnsi="仿宋" w:eastAsia="仿宋" w:cs="微软雅黑"/>
                <w:sz w:val="18"/>
                <w:szCs w:val="28"/>
              </w:rPr>
              <w:t>服务内容</w:t>
            </w:r>
          </w:p>
        </w:tc>
        <w:tc>
          <w:tcPr>
            <w:tcW w:w="1854" w:type="dxa"/>
            <w:shd w:val="clear" w:color="auto" w:fill="8496B0" w:themeFill="text2" w:themeFillTint="99"/>
            <w:vAlign w:val="center"/>
          </w:tcPr>
          <w:p>
            <w:pPr>
              <w:pStyle w:val="2"/>
              <w:spacing w:before="100" w:after="100"/>
              <w:contextualSpacing/>
              <w:jc w:val="center"/>
              <w:outlineLvl w:val="1"/>
              <w:rPr>
                <w:rFonts w:hint="default" w:ascii="仿宋" w:hAnsi="仿宋" w:eastAsia="仿宋" w:cs="微软雅黑"/>
                <w:sz w:val="1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微软雅黑"/>
                <w:sz w:val="18"/>
                <w:szCs w:val="28"/>
                <w:lang w:val="en-US" w:eastAsia="zh-CN"/>
              </w:rPr>
              <w:t>推广形式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3" w:hRule="atLeast"/>
        </w:trPr>
        <w:tc>
          <w:tcPr>
            <w:tcW w:w="1251" w:type="dxa"/>
            <w:vAlign w:val="center"/>
          </w:tcPr>
          <w:p>
            <w:pPr>
              <w:pStyle w:val="2"/>
              <w:outlineLvl w:val="1"/>
              <w:rPr>
                <w:rFonts w:hint="default" w:ascii="仿宋" w:hAnsi="仿宋" w:eastAsia="仿宋" w:cs="微软雅黑"/>
                <w:color w:val="auto"/>
                <w:sz w:val="18"/>
                <w:szCs w:val="28"/>
              </w:rPr>
            </w:pPr>
            <w:r>
              <w:rPr>
                <w:rFonts w:ascii="仿宋" w:hAnsi="仿宋" w:eastAsia="仿宋" w:cs="微软雅黑"/>
                <w:color w:val="auto"/>
                <w:sz w:val="18"/>
                <w:szCs w:val="28"/>
              </w:rPr>
              <w:t>项目推广</w:t>
            </w:r>
          </w:p>
        </w:tc>
        <w:tc>
          <w:tcPr>
            <w:tcW w:w="5413" w:type="dxa"/>
            <w:vAlign w:val="center"/>
          </w:tcPr>
          <w:p>
            <w:pPr>
              <w:spacing w:line="360" w:lineRule="auto"/>
              <w:rPr>
                <w:b/>
                <w:bCs/>
                <w:color w:val="auto"/>
                <w:szCs w:val="21"/>
              </w:rPr>
            </w:pPr>
            <w:r>
              <w:rPr>
                <w:rFonts w:ascii="仿宋" w:hAnsi="仿宋" w:eastAsia="仿宋" w:cs="微软雅黑"/>
                <w:b/>
                <w:bCs/>
                <w:color w:val="auto"/>
                <w:sz w:val="18"/>
                <w:szCs w:val="28"/>
              </w:rPr>
              <w:t>从项目【</w:t>
            </w:r>
            <w:r>
              <w:rPr>
                <w:rFonts w:hint="eastAsia" w:ascii="仿宋" w:hAnsi="仿宋" w:eastAsia="仿宋" w:cs="微软雅黑"/>
                <w:b/>
                <w:bCs/>
                <w:color w:val="auto"/>
                <w:sz w:val="18"/>
                <w:szCs w:val="28"/>
              </w:rPr>
              <w:t>融发菁英汇</w:t>
            </w:r>
            <w:r>
              <w:rPr>
                <w:rFonts w:ascii="仿宋" w:hAnsi="仿宋" w:eastAsia="仿宋" w:cs="微软雅黑"/>
                <w:b/>
                <w:bCs/>
                <w:color w:val="auto"/>
                <w:sz w:val="18"/>
                <w:szCs w:val="28"/>
              </w:rPr>
              <w:t>】所在板块发展、定位切入，分析板块当前政策环境、市场环境、进而落位项目进行深度解读</w:t>
            </w:r>
          </w:p>
          <w:p>
            <w:pPr>
              <w:rPr>
                <w:rFonts w:ascii="仿宋" w:hAnsi="仿宋" w:eastAsia="仿宋" w:cs="仿宋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推广</w:t>
            </w:r>
            <w:r>
              <w:rPr>
                <w:rFonts w:ascii="仿宋" w:hAnsi="仿宋" w:eastAsia="仿宋" w:cs="仿宋"/>
                <w:b/>
                <w:bCs/>
                <w:color w:val="auto"/>
                <w:kern w:val="0"/>
                <w:sz w:val="18"/>
                <w:szCs w:val="18"/>
              </w:rPr>
              <w:t>框架：</w:t>
            </w:r>
          </w:p>
          <w:p>
            <w:pPr>
              <w:rPr>
                <w:rFonts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>1</w:t>
            </w:r>
            <w:r>
              <w:rPr>
                <w:rFonts w:ascii="仿宋" w:hAnsi="仿宋" w:eastAsia="仿宋" w:cs="仿宋"/>
                <w:color w:val="auto"/>
                <w:sz w:val="18"/>
                <w:szCs w:val="18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>南部新城利好不断，机场搬迁、限高突破，地产新机生</w:t>
            </w:r>
          </w:p>
          <w:p>
            <w:pPr>
              <w:rPr>
                <w:rFonts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>2</w:t>
            </w:r>
            <w:r>
              <w:rPr>
                <w:rFonts w:ascii="仿宋" w:hAnsi="仿宋" w:eastAsia="仿宋" w:cs="仿宋"/>
                <w:color w:val="auto"/>
                <w:sz w:val="18"/>
                <w:szCs w:val="18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>医教优质配套不断落地，片区能级提升，地产价值升</w:t>
            </w:r>
          </w:p>
          <w:p>
            <w:pPr>
              <w:rPr>
                <w:rFonts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>3</w:t>
            </w:r>
            <w:r>
              <w:rPr>
                <w:rFonts w:ascii="仿宋" w:hAnsi="仿宋" w:eastAsia="仿宋" w:cs="仿宋"/>
                <w:color w:val="auto"/>
                <w:sz w:val="18"/>
                <w:szCs w:val="18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>片区需求正值刚需向改善跃迁的初级阶段，品牌企业争相入驻</w:t>
            </w:r>
          </w:p>
          <w:p>
            <w:pPr>
              <w:rPr>
                <w:rFonts w:ascii="仿宋" w:hAnsi="仿宋" w:eastAsia="仿宋" w:cs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>4</w:t>
            </w:r>
            <w:r>
              <w:rPr>
                <w:rFonts w:ascii="仿宋" w:hAnsi="仿宋" w:eastAsia="仿宋" w:cs="仿宋"/>
                <w:color w:val="auto"/>
                <w:sz w:val="18"/>
                <w:szCs w:val="18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  <w:t>融发菁英汇携品质生活为片区人居赋能</w:t>
            </w:r>
          </w:p>
        </w:tc>
        <w:tc>
          <w:tcPr>
            <w:tcW w:w="1854" w:type="dxa"/>
            <w:vAlign w:val="center"/>
          </w:tcPr>
          <w:p>
            <w:pPr>
              <w:pStyle w:val="2"/>
              <w:jc w:val="center"/>
              <w:outlineLvl w:val="1"/>
              <w:rPr>
                <w:rFonts w:hint="default" w:ascii="仿宋" w:hAnsi="仿宋" w:eastAsia="仿宋" w:cs="微软雅黑"/>
                <w:b w:val="0"/>
                <w:bCs w:val="0"/>
                <w:color w:val="auto"/>
                <w:sz w:val="1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微软雅黑"/>
                <w:color w:val="auto"/>
                <w:sz w:val="18"/>
                <w:szCs w:val="28"/>
                <w:lang w:val="en-US" w:eastAsia="zh-CN"/>
              </w:rPr>
              <w:t>线上曝光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</w:trPr>
        <w:tc>
          <w:tcPr>
            <w:tcW w:w="1251" w:type="dxa"/>
            <w:vAlign w:val="center"/>
          </w:tcPr>
          <w:p>
            <w:pPr>
              <w:pStyle w:val="2"/>
              <w:outlineLvl w:val="1"/>
              <w:rPr>
                <w:rFonts w:hint="default" w:ascii="仿宋" w:hAnsi="仿宋" w:eastAsia="仿宋" w:cs="微软雅黑"/>
                <w:color w:val="auto"/>
                <w:sz w:val="18"/>
                <w:szCs w:val="28"/>
              </w:rPr>
            </w:pPr>
            <w:r>
              <w:rPr>
                <w:rFonts w:ascii="仿宋" w:hAnsi="仿宋" w:eastAsia="仿宋" w:cs="微软雅黑"/>
                <w:color w:val="auto"/>
                <w:sz w:val="18"/>
                <w:szCs w:val="28"/>
              </w:rPr>
              <w:t>权威机构</w:t>
            </w:r>
            <w:r>
              <w:rPr>
                <w:rFonts w:hint="eastAsia" w:ascii="仿宋" w:hAnsi="仿宋" w:eastAsia="仿宋" w:cs="微软雅黑"/>
                <w:color w:val="auto"/>
                <w:sz w:val="18"/>
                <w:szCs w:val="28"/>
                <w:lang w:val="en-US" w:eastAsia="zh-CN"/>
              </w:rPr>
              <w:t>推广（测评）及</w:t>
            </w:r>
            <w:r>
              <w:rPr>
                <w:rFonts w:ascii="仿宋" w:hAnsi="仿宋" w:eastAsia="仿宋" w:cs="微软雅黑"/>
                <w:color w:val="auto"/>
                <w:sz w:val="18"/>
                <w:szCs w:val="28"/>
              </w:rPr>
              <w:t>评奖授牌</w:t>
            </w:r>
          </w:p>
        </w:tc>
        <w:tc>
          <w:tcPr>
            <w:tcW w:w="5413" w:type="dxa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beforeAutospacing="0" w:afterAutospacing="0"/>
              <w:contextualSpacing/>
              <w:outlineLvl w:val="1"/>
              <w:rPr>
                <w:rFonts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</w:pPr>
            <w:r>
              <w:rPr>
                <w:rFonts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  <w:t>项目路演报告发布</w:t>
            </w:r>
            <w:r>
              <w:rPr>
                <w:rFonts w:hint="eastAsia"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微软雅黑"/>
                <w:color w:val="auto"/>
                <w:kern w:val="0"/>
                <w:sz w:val="18"/>
                <w:szCs w:val="28"/>
              </w:rPr>
              <w:t>国内</w:t>
            </w:r>
            <w:r>
              <w:rPr>
                <w:rFonts w:hint="eastAsia" w:ascii="仿宋" w:hAnsi="仿宋" w:eastAsia="仿宋" w:cs="微软雅黑"/>
                <w:color w:val="auto"/>
                <w:kern w:val="0"/>
                <w:sz w:val="18"/>
                <w:szCs w:val="28"/>
                <w:lang w:val="en-US" w:eastAsia="zh-CN"/>
              </w:rPr>
              <w:t>权威</w:t>
            </w:r>
            <w:r>
              <w:rPr>
                <w:rFonts w:hint="eastAsia" w:ascii="仿宋" w:hAnsi="仿宋" w:eastAsia="仿宋" w:cs="微软雅黑"/>
                <w:color w:val="auto"/>
                <w:kern w:val="0"/>
                <w:sz w:val="18"/>
                <w:szCs w:val="28"/>
              </w:rPr>
              <w:t>上市咨询研究机构推广平台（湖南省厅级住建</w:t>
            </w:r>
            <w:r>
              <w:rPr>
                <w:rFonts w:hint="eastAsia" w:ascii="仿宋" w:hAnsi="仿宋" w:eastAsia="仿宋" w:cs="微软雅黑"/>
                <w:color w:val="auto"/>
                <w:kern w:val="0"/>
                <w:sz w:val="18"/>
                <w:szCs w:val="28"/>
                <w:lang w:val="en-US" w:eastAsia="zh-CN"/>
              </w:rPr>
              <w:t>相关</w:t>
            </w:r>
            <w:r>
              <w:rPr>
                <w:rFonts w:hint="eastAsia" w:ascii="仿宋" w:hAnsi="仿宋" w:eastAsia="仿宋" w:cs="微软雅黑"/>
                <w:color w:val="auto"/>
                <w:kern w:val="0"/>
                <w:sz w:val="18"/>
                <w:szCs w:val="28"/>
              </w:rPr>
              <w:t>部门</w:t>
            </w:r>
            <w:r>
              <w:rPr>
                <w:rFonts w:hint="eastAsia" w:ascii="仿宋" w:hAnsi="仿宋" w:eastAsia="仿宋" w:cs="微软雅黑"/>
                <w:color w:val="auto"/>
                <w:kern w:val="0"/>
                <w:sz w:val="18"/>
                <w:szCs w:val="28"/>
                <w:lang w:val="en-US" w:eastAsia="zh-CN"/>
              </w:rPr>
              <w:t>授牌单位</w:t>
            </w:r>
            <w:r>
              <w:rPr>
                <w:rFonts w:hint="eastAsia" w:ascii="仿宋" w:hAnsi="仿宋" w:eastAsia="仿宋" w:cs="微软雅黑"/>
                <w:color w:val="auto"/>
                <w:kern w:val="0"/>
                <w:sz w:val="18"/>
                <w:szCs w:val="28"/>
              </w:rPr>
              <w:t>）</w:t>
            </w:r>
            <w:r>
              <w:rPr>
                <w:rFonts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  <w:t>；</w:t>
            </w:r>
          </w:p>
          <w:p>
            <w:pPr>
              <w:pStyle w:val="2"/>
              <w:spacing w:beforeAutospacing="0" w:afterAutospacing="0"/>
              <w:contextualSpacing/>
              <w:outlineLvl w:val="1"/>
              <w:rPr>
                <w:rFonts w:hint="default"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  <w:lang w:val="en-US" w:eastAsia="zh-CN"/>
              </w:rPr>
              <w:t>2</w:t>
            </w:r>
            <w:r>
              <w:rPr>
                <w:rFonts w:hint="default"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  <w:t>.</w:t>
            </w:r>
            <w:r>
              <w:rPr>
                <w:rFonts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  <w:t>从</w:t>
            </w:r>
            <w:r>
              <w:rPr>
                <w:rFonts w:ascii="仿宋" w:hAnsi="仿宋" w:eastAsia="仿宋" w:cs="微软雅黑"/>
                <w:color w:val="auto"/>
                <w:sz w:val="18"/>
                <w:szCs w:val="28"/>
              </w:rPr>
              <w:t>【融发菁英汇府】</w:t>
            </w:r>
            <w:r>
              <w:rPr>
                <w:rFonts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  <w:t>“项目概况、主力户型、精装设计、社区空间”对所有项目进行测评</w:t>
            </w:r>
            <w:r>
              <w:rPr>
                <w:rFonts w:hint="eastAsia"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  <w:lang w:val="en-US" w:eastAsia="zh-CN"/>
              </w:rPr>
              <w:t>式推广</w:t>
            </w:r>
          </w:p>
          <w:p>
            <w:pPr>
              <w:pStyle w:val="2"/>
              <w:numPr>
                <w:ilvl w:val="0"/>
                <w:numId w:val="0"/>
              </w:numPr>
              <w:spacing w:beforeAutospacing="0" w:afterAutospacing="0"/>
              <w:contextualSpacing/>
              <w:outlineLvl w:val="1"/>
              <w:rPr>
                <w:rFonts w:hint="default"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</w:pPr>
            <w:r>
              <w:rPr>
                <w:rFonts w:hint="eastAsia" w:ascii="仿宋" w:hAnsi="仿宋" w:eastAsia="仿宋" w:cs="微软雅黑"/>
                <w:b w:val="0"/>
                <w:bCs w:val="0"/>
                <w:color w:val="auto"/>
                <w:sz w:val="18"/>
                <w:szCs w:val="28"/>
                <w:lang w:val="en-US" w:eastAsia="zh-CN"/>
              </w:rPr>
              <w:t>3</w:t>
            </w:r>
            <w:r>
              <w:rPr>
                <w:rFonts w:hint="default"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  <w:t>.</w:t>
            </w:r>
            <w:r>
              <w:rPr>
                <w:rFonts w:hint="eastAsia"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  <w:lang w:val="en-US" w:eastAsia="zh-CN"/>
              </w:rPr>
              <w:t>通过</w:t>
            </w:r>
            <w:r>
              <w:rPr>
                <w:rFonts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  <w:t>项目</w:t>
            </w:r>
            <w:r>
              <w:rPr>
                <w:rFonts w:hint="eastAsia"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  <w:lang w:val="en-US" w:eastAsia="zh-CN"/>
              </w:rPr>
              <w:t>推广宣传力促项目</w:t>
            </w:r>
            <w:r>
              <w:rPr>
                <w:rFonts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  <w:t>入围</w:t>
            </w:r>
            <w:r>
              <w:rPr>
                <w:rFonts w:hint="eastAsia"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  <w:lang w:val="en-US" w:eastAsia="zh-CN"/>
              </w:rPr>
              <w:t>长沙</w:t>
            </w:r>
            <w:r>
              <w:rPr>
                <w:rFonts w:ascii="仿宋" w:hAnsi="仿宋" w:eastAsia="仿宋" w:cs="微软雅黑"/>
                <w:color w:val="auto"/>
                <w:kern w:val="2"/>
                <w:sz w:val="18"/>
                <w:szCs w:val="28"/>
              </w:rPr>
              <w:t>十大品质</w:t>
            </w:r>
            <w:r>
              <w:rPr>
                <w:rFonts w:ascii="仿宋" w:hAnsi="仿宋" w:eastAsia="仿宋" w:cs="微软雅黑"/>
                <w:b w:val="0"/>
                <w:bCs w:val="0"/>
                <w:color w:val="auto"/>
                <w:kern w:val="2"/>
                <w:sz w:val="18"/>
                <w:szCs w:val="28"/>
              </w:rPr>
              <w:t>作品</w:t>
            </w:r>
          </w:p>
          <w:p>
            <w:pPr>
              <w:pStyle w:val="6"/>
              <w:numPr>
                <w:ilvl w:val="0"/>
                <w:numId w:val="0"/>
              </w:numPr>
              <w:ind w:leftChars="0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微软雅黑"/>
                <w:b w:val="0"/>
                <w:bCs w:val="0"/>
                <w:color w:val="auto"/>
                <w:sz w:val="18"/>
                <w:szCs w:val="28"/>
                <w:lang w:val="en-US" w:eastAsia="zh-CN"/>
              </w:rPr>
              <w:t>4、通过项目宣传推广，获得</w:t>
            </w:r>
            <w:r>
              <w:rPr>
                <w:rFonts w:hint="eastAsia" w:ascii="仿宋" w:hAnsi="仿宋" w:eastAsia="仿宋" w:cs="微软雅黑"/>
                <w:color w:val="auto"/>
                <w:kern w:val="0"/>
                <w:sz w:val="18"/>
                <w:szCs w:val="28"/>
              </w:rPr>
              <w:t>省市</w:t>
            </w:r>
            <w:r>
              <w:rPr>
                <w:rFonts w:ascii="仿宋" w:hAnsi="仿宋" w:eastAsia="仿宋" w:cs="微软雅黑"/>
                <w:color w:val="auto"/>
                <w:kern w:val="0"/>
                <w:sz w:val="18"/>
                <w:szCs w:val="28"/>
              </w:rPr>
              <w:t>级房地产业相关协会组织</w:t>
            </w:r>
            <w:r>
              <w:rPr>
                <w:rFonts w:hint="eastAsia" w:ascii="仿宋" w:hAnsi="仿宋" w:eastAsia="仿宋" w:cs="微软雅黑"/>
                <w:b w:val="0"/>
                <w:bCs w:val="0"/>
                <w:color w:val="auto"/>
                <w:sz w:val="18"/>
                <w:szCs w:val="28"/>
                <w:lang w:val="en-US" w:eastAsia="zh-CN"/>
              </w:rPr>
              <w:t>的认可，并授牌。</w:t>
            </w:r>
          </w:p>
        </w:tc>
        <w:tc>
          <w:tcPr>
            <w:tcW w:w="1854" w:type="dxa"/>
            <w:vAlign w:val="center"/>
          </w:tcPr>
          <w:p>
            <w:pPr>
              <w:pStyle w:val="2"/>
              <w:jc w:val="center"/>
              <w:outlineLvl w:val="1"/>
              <w:rPr>
                <w:rFonts w:hint="default" w:ascii="仿宋" w:hAnsi="仿宋" w:eastAsia="仿宋" w:cs="微软雅黑"/>
                <w:b w:val="0"/>
                <w:bCs w:val="0"/>
                <w:color w:val="auto"/>
                <w:sz w:val="18"/>
                <w:szCs w:val="28"/>
              </w:rPr>
            </w:pPr>
            <w:r>
              <w:rPr>
                <w:rFonts w:hint="eastAsia" w:ascii="仿宋" w:hAnsi="仿宋" w:eastAsia="仿宋" w:cs="微软雅黑"/>
                <w:color w:val="auto"/>
                <w:sz w:val="18"/>
                <w:szCs w:val="28"/>
                <w:lang w:val="en-US" w:eastAsia="zh-CN"/>
              </w:rPr>
              <w:t>线上曝光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251" w:type="dxa"/>
            <w:vAlign w:val="center"/>
          </w:tcPr>
          <w:p>
            <w:pPr>
              <w:pStyle w:val="2"/>
              <w:outlineLvl w:val="1"/>
              <w:rPr>
                <w:rFonts w:hint="default" w:ascii="仿宋" w:hAnsi="仿宋" w:eastAsia="仿宋" w:cs="微软雅黑"/>
                <w:color w:val="auto"/>
                <w:sz w:val="18"/>
                <w:szCs w:val="28"/>
              </w:rPr>
            </w:pPr>
            <w:r>
              <w:rPr>
                <w:rFonts w:ascii="仿宋" w:hAnsi="仿宋" w:eastAsia="仿宋" w:cs="微软雅黑"/>
                <w:color w:val="auto"/>
                <w:sz w:val="18"/>
                <w:szCs w:val="28"/>
              </w:rPr>
              <w:t>首开推广</w:t>
            </w:r>
          </w:p>
        </w:tc>
        <w:tc>
          <w:tcPr>
            <w:tcW w:w="5413" w:type="dxa"/>
            <w:vAlign w:val="center"/>
          </w:tcPr>
          <w:p>
            <w:pPr>
              <w:pStyle w:val="2"/>
              <w:spacing w:beforeAutospacing="0" w:afterAutospacing="0"/>
              <w:contextualSpacing/>
              <w:outlineLvl w:val="1"/>
              <w:rPr>
                <w:rFonts w:hint="default" w:ascii="仿宋" w:hAnsi="仿宋" w:eastAsia="仿宋" w:cs="微软雅黑"/>
                <w:color w:val="auto"/>
                <w:sz w:val="18"/>
                <w:szCs w:val="28"/>
              </w:rPr>
            </w:pPr>
            <w:r>
              <w:rPr>
                <w:rFonts w:ascii="仿宋" w:hAnsi="仿宋" w:eastAsia="仿宋" w:cs="微软雅黑"/>
                <w:color w:val="auto"/>
                <w:sz w:val="18"/>
                <w:szCs w:val="28"/>
              </w:rPr>
              <w:t>从项目【融发菁英汇】首开现场，首开去化，首开产品，项目亮点进行</w:t>
            </w:r>
            <w:r>
              <w:rPr>
                <w:rFonts w:hint="eastAsia" w:ascii="仿宋" w:hAnsi="仿宋" w:eastAsia="仿宋" w:cs="微软雅黑"/>
                <w:color w:val="auto"/>
                <w:sz w:val="18"/>
                <w:szCs w:val="28"/>
                <w:lang w:val="en-US" w:eastAsia="zh-CN"/>
              </w:rPr>
              <w:t>推广</w:t>
            </w:r>
            <w:r>
              <w:rPr>
                <w:rFonts w:ascii="仿宋" w:hAnsi="仿宋" w:eastAsia="仿宋" w:cs="微软雅黑"/>
                <w:color w:val="auto"/>
                <w:sz w:val="18"/>
                <w:szCs w:val="28"/>
              </w:rPr>
              <w:t>。</w:t>
            </w:r>
          </w:p>
          <w:p>
            <w:pPr>
              <w:rPr>
                <w:rFonts w:ascii="仿宋" w:hAnsi="仿宋" w:eastAsia="仿宋" w:cs="仿宋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推广</w:t>
            </w:r>
            <w:r>
              <w:rPr>
                <w:rFonts w:ascii="仿宋" w:hAnsi="仿宋" w:eastAsia="仿宋" w:cs="仿宋"/>
                <w:b/>
                <w:bCs/>
                <w:color w:val="auto"/>
                <w:kern w:val="0"/>
                <w:sz w:val="18"/>
                <w:szCs w:val="18"/>
              </w:rPr>
              <w:t>框架：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1、首开表现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2、项目热度分析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南部融城片区处高速蜕变期，共享城市高能级资源</w:t>
            </w:r>
          </w:p>
          <w:p>
            <w:pPr>
              <w:pStyle w:val="6"/>
              <w:numPr>
                <w:ilvl w:val="0"/>
                <w:numId w:val="2"/>
              </w:numPr>
              <w:ind w:firstLineChars="0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红盘基因铸就，匹配当代青年需求的精致住宅</w:t>
            </w:r>
          </w:p>
          <w:p>
            <w:pPr>
              <w:pStyle w:val="2"/>
              <w:spacing w:beforeAutospacing="0" w:afterAutospacing="0"/>
              <w:contextualSpacing/>
              <w:outlineLvl w:val="1"/>
              <w:rPr>
                <w:rFonts w:hint="default" w:ascii="仿宋" w:hAnsi="仿宋" w:eastAsia="仿宋" w:cs="微软雅黑"/>
                <w:b w:val="0"/>
                <w:bCs w:val="0"/>
                <w:color w:val="auto"/>
                <w:sz w:val="1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国企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品牌赋能城市更新，品质力与服务力均好</w:t>
            </w:r>
          </w:p>
        </w:tc>
        <w:tc>
          <w:tcPr>
            <w:tcW w:w="1854" w:type="dxa"/>
            <w:vAlign w:val="center"/>
          </w:tcPr>
          <w:p>
            <w:pPr>
              <w:pStyle w:val="2"/>
              <w:jc w:val="center"/>
              <w:outlineLvl w:val="1"/>
              <w:rPr>
                <w:rFonts w:hint="default" w:ascii="仿宋" w:hAnsi="仿宋" w:eastAsia="仿宋" w:cs="微软雅黑"/>
                <w:b w:val="0"/>
                <w:bCs w:val="0"/>
                <w:color w:val="auto"/>
                <w:sz w:val="1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微软雅黑"/>
                <w:b/>
                <w:bCs/>
                <w:color w:val="auto"/>
                <w:sz w:val="18"/>
                <w:szCs w:val="28"/>
                <w:lang w:val="en-US" w:eastAsia="zh-CN"/>
              </w:rPr>
              <w:t>线下线下结合</w:t>
            </w:r>
          </w:p>
        </w:tc>
      </w:tr>
    </w:tbl>
    <w:p/>
    <w:sectPr>
      <w:pgSz w:w="11906" w:h="16838"/>
      <w:pgMar w:top="2154" w:right="1474" w:bottom="1587" w:left="204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E00394"/>
    <w:multiLevelType w:val="singleLevel"/>
    <w:tmpl w:val="EBE0039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89C7E43"/>
    <w:multiLevelType w:val="multilevel"/>
    <w:tmpl w:val="089C7E4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45C969EC"/>
    <w:rsid w:val="3A6F40A7"/>
    <w:rsid w:val="45C969EC"/>
    <w:rsid w:val="75F9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cs="Times New Roman"/>
      <w:b/>
      <w:bCs/>
      <w:kern w:val="0"/>
      <w:szCs w:val="36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2023-12-25T05:55:00Z</dcterms:created>
  <dc:creator>刘欢</dc:creator>
  <cp:lastModifiedBy>jin</cp:lastModifiedBy>
  <dcterms:modified xsi:type="dcterms:W3CDTF">2024-01-16T02:07:25Z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453B088D0DAC472189017CF644A0DA11_11</vt:lpwstr>
  </property>
</Properties>
</file>